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365"/>
        <w:jc w:val="center"/>
        <w:rPr>
          <w:sz w:val="28"/>
        </w:rPr>
      </w:pPr>
      <w:r>
        <w:rPr>
          <w:sz w:val="28"/>
        </w:rPr>
        <w:t>Управление  образования</w:t>
      </w:r>
      <w:r>
        <w:rPr>
          <w:sz w:val="28"/>
        </w:rPr>
        <w:t xml:space="preserve">, молодёжной политики, физической культуры </w:t>
      </w:r>
    </w:p>
    <w:p w14:paraId="02000000">
      <w:pPr>
        <w:ind w:right="-365"/>
        <w:jc w:val="center"/>
        <w:rPr>
          <w:sz w:val="28"/>
        </w:rPr>
      </w:pPr>
      <w:r>
        <w:rPr>
          <w:sz w:val="28"/>
        </w:rPr>
        <w:t>и спорта   администрации Адыге-</w:t>
      </w:r>
      <w:r>
        <w:rPr>
          <w:sz w:val="28"/>
        </w:rPr>
        <w:t>Хабльского</w:t>
      </w:r>
      <w:r>
        <w:rPr>
          <w:sz w:val="28"/>
        </w:rPr>
        <w:t xml:space="preserve"> муниципального района</w:t>
      </w:r>
    </w:p>
    <w:p w14:paraId="03000000">
      <w:pPr>
        <w:rPr>
          <w:sz w:val="28"/>
        </w:rPr>
      </w:pPr>
      <w:r>
        <w:rPr>
          <w:sz w:val="28"/>
        </w:rPr>
        <w:t xml:space="preserve">                                    </w:t>
      </w:r>
    </w:p>
    <w:p w14:paraId="04000000">
      <w:pPr>
        <w:rPr>
          <w:sz w:val="28"/>
        </w:rPr>
      </w:pPr>
    </w:p>
    <w:p w14:paraId="05000000">
      <w:pPr>
        <w:rPr>
          <w:sz w:val="28"/>
        </w:rPr>
      </w:pPr>
      <w:r>
        <w:rPr>
          <w:sz w:val="28"/>
        </w:rPr>
        <w:t xml:space="preserve">                                         П Р И К А З   </w:t>
      </w:r>
    </w:p>
    <w:p w14:paraId="06000000">
      <w:pPr>
        <w:tabs>
          <w:tab w:leader="none" w:pos="480" w:val="left"/>
          <w:tab w:leader="none" w:pos="4459" w:val="center"/>
        </w:tabs>
        <w:ind/>
        <w:rPr>
          <w:sz w:val="28"/>
        </w:rPr>
      </w:pPr>
    </w:p>
    <w:p w14:paraId="07000000">
      <w:pPr>
        <w:tabs>
          <w:tab w:leader="none" w:pos="480" w:val="left"/>
          <w:tab w:leader="none" w:pos="4459" w:val="center"/>
        </w:tabs>
        <w:ind/>
        <w:rPr>
          <w:sz w:val="28"/>
        </w:rPr>
      </w:pPr>
    </w:p>
    <w:p w14:paraId="08000000">
      <w:pPr>
        <w:tabs>
          <w:tab w:leader="none" w:pos="480" w:val="left"/>
          <w:tab w:leader="none" w:pos="4459" w:val="center"/>
        </w:tabs>
        <w:ind/>
        <w:rPr>
          <w:sz w:val="28"/>
        </w:rPr>
      </w:pPr>
    </w:p>
    <w:p w14:paraId="09000000">
      <w:pPr>
        <w:tabs>
          <w:tab w:leader="none" w:pos="480" w:val="left"/>
          <w:tab w:leader="none" w:pos="4459" w:val="center"/>
        </w:tabs>
        <w:ind/>
        <w:rPr>
          <w:sz w:val="28"/>
        </w:rPr>
      </w:pPr>
      <w:r>
        <w:rPr>
          <w:sz w:val="28"/>
        </w:rPr>
        <w:t>10</w:t>
      </w:r>
      <w:r>
        <w:rPr>
          <w:sz w:val="28"/>
        </w:rPr>
        <w:t xml:space="preserve">. </w:t>
      </w:r>
      <w:r>
        <w:rPr>
          <w:sz w:val="28"/>
        </w:rPr>
        <w:t>12</w:t>
      </w:r>
      <w:r>
        <w:rPr>
          <w:sz w:val="28"/>
        </w:rPr>
        <w:t xml:space="preserve">. 2025 г.                </w:t>
      </w:r>
      <w:r>
        <w:rPr>
          <w:sz w:val="28"/>
        </w:rPr>
        <w:t xml:space="preserve">        </w:t>
      </w:r>
      <w:r>
        <w:rPr>
          <w:sz w:val="28"/>
        </w:rPr>
        <w:t xml:space="preserve">   </w:t>
      </w:r>
      <w:r>
        <w:rPr>
          <w:sz w:val="28"/>
        </w:rPr>
        <w:t xml:space="preserve">     </w:t>
      </w:r>
      <w:r>
        <w:rPr>
          <w:sz w:val="28"/>
        </w:rPr>
        <w:t xml:space="preserve"> а. Адыге-Хабль       </w:t>
      </w:r>
      <w:r>
        <w:rPr>
          <w:sz w:val="28"/>
        </w:rPr>
        <w:t xml:space="preserve">            </w:t>
      </w:r>
      <w:r>
        <w:rPr>
          <w:sz w:val="28"/>
        </w:rPr>
        <w:t xml:space="preserve">    №</w:t>
      </w:r>
      <w:r>
        <w:rPr>
          <w:sz w:val="28"/>
        </w:rPr>
        <w:t>8</w:t>
      </w:r>
      <w:r>
        <w:rPr>
          <w:sz w:val="28"/>
        </w:rPr>
        <w:t>7</w:t>
      </w:r>
    </w:p>
    <w:p w14:paraId="0A000000">
      <w:pPr>
        <w:tabs>
          <w:tab w:leader="none" w:pos="480" w:val="left"/>
          <w:tab w:leader="none" w:pos="4459" w:val="center"/>
        </w:tabs>
        <w:ind/>
        <w:rPr>
          <w:sz w:val="28"/>
        </w:rPr>
      </w:pPr>
      <w:r>
        <w:rPr>
          <w:sz w:val="28"/>
        </w:rPr>
        <w:t xml:space="preserve">                              </w:t>
      </w:r>
      <w:r>
        <w:rPr>
          <w:sz w:val="28"/>
        </w:rPr>
        <w:t xml:space="preserve">                                                              </w:t>
      </w:r>
    </w:p>
    <w:p w14:paraId="0B000000">
      <w:pPr>
        <w:tabs>
          <w:tab w:leader="none" w:pos="480" w:val="left"/>
          <w:tab w:leader="none" w:pos="4459" w:val="center"/>
        </w:tabs>
        <w:ind/>
        <w:rPr>
          <w:sz w:val="28"/>
        </w:rPr>
      </w:pPr>
    </w:p>
    <w:p w14:paraId="0C000000">
      <w:pPr>
        <w:rPr>
          <w:sz w:val="28"/>
        </w:rPr>
      </w:pPr>
    </w:p>
    <w:p w14:paraId="0D000000">
      <w:pPr>
        <w:spacing w:line="264" w:lineRule="auto"/>
        <w:ind w:firstLine="0" w:left="-15"/>
        <w:rPr>
          <w:color w:val="000000"/>
          <w:sz w:val="28"/>
        </w:rPr>
      </w:pPr>
      <w:r>
        <w:rPr>
          <w:color w:val="000000"/>
          <w:sz w:val="28"/>
        </w:rPr>
        <w:t>«Об обеспечении информационной безопасности во время проведения итогового собеседования по русскому языку в образовательных организациях Карачаево-Черкесской Республики в 2025 - 2026 учебном году»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 xml:space="preserve">  </w:t>
      </w:r>
    </w:p>
    <w:p w14:paraId="0E000000">
      <w:pPr>
        <w:spacing w:after="25" w:line="264" w:lineRule="auto"/>
        <w:ind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14:paraId="0F000000">
      <w:pPr>
        <w:tabs>
          <w:tab w:leader="none" w:pos="3960" w:val="left"/>
        </w:tabs>
        <w:ind/>
        <w:rPr>
          <w:sz w:val="28"/>
        </w:rPr>
      </w:pPr>
    </w:p>
    <w:p w14:paraId="10000000">
      <w:pPr>
        <w:spacing w:line="264" w:lineRule="auto"/>
        <w:ind w:firstLine="0" w:left="-15"/>
        <w:rPr>
          <w:color w:val="000000"/>
          <w:sz w:val="28"/>
        </w:rPr>
      </w:pPr>
      <w:r>
        <w:rPr>
          <w:sz w:val="28"/>
        </w:rPr>
        <w:t>В с</w:t>
      </w:r>
      <w:r>
        <w:rPr>
          <w:sz w:val="28"/>
        </w:rPr>
        <w:t>оответствии с</w:t>
      </w:r>
      <w:r>
        <w:rPr>
          <w:sz w:val="28"/>
        </w:rPr>
        <w:t xml:space="preserve"> п</w:t>
      </w:r>
      <w:r>
        <w:rPr>
          <w:sz w:val="28"/>
        </w:rPr>
        <w:t>риказом</w:t>
      </w:r>
      <w:r>
        <w:rPr>
          <w:sz w:val="28"/>
        </w:rPr>
        <w:t xml:space="preserve"> МОН КЧР № </w:t>
      </w:r>
      <w:r>
        <w:rPr>
          <w:sz w:val="28"/>
        </w:rPr>
        <w:t>754</w:t>
      </w:r>
      <w:r>
        <w:rPr>
          <w:sz w:val="28"/>
        </w:rPr>
        <w:t xml:space="preserve"> от 0</w:t>
      </w:r>
      <w:r>
        <w:rPr>
          <w:sz w:val="28"/>
        </w:rPr>
        <w:t>8</w:t>
      </w:r>
      <w:r>
        <w:rPr>
          <w:sz w:val="28"/>
        </w:rPr>
        <w:t>.</w:t>
      </w:r>
      <w:r>
        <w:rPr>
          <w:sz w:val="28"/>
        </w:rPr>
        <w:t>12</w:t>
      </w:r>
      <w:r>
        <w:rPr>
          <w:sz w:val="28"/>
        </w:rPr>
        <w:t xml:space="preserve">.2025г. </w:t>
      </w:r>
      <w:r>
        <w:rPr>
          <w:color w:val="000000"/>
          <w:sz w:val="28"/>
        </w:rPr>
        <w:t>«Об обеспечении информационной безопасности во время проведения итогового собеседования по русскому языку в образовательных организациях Карачаево-Черкесской Республики в 2025 - 2026 учебном году»</w:t>
      </w:r>
      <w:r>
        <w:rPr>
          <w:color w:val="000000"/>
          <w:sz w:val="28"/>
        </w:rPr>
        <w:t xml:space="preserve"> и </w:t>
      </w:r>
      <w:r>
        <w:rPr>
          <w:color w:val="000000"/>
          <w:sz w:val="28"/>
        </w:rPr>
        <w:t xml:space="preserve">  </w:t>
      </w:r>
    </w:p>
    <w:p w14:paraId="11000000">
      <w:pPr>
        <w:spacing w:after="2" w:line="264" w:lineRule="auto"/>
        <w:ind w:firstLine="0" w:left="-15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целях объективного проведения и обеспечения информационной безопасности итогового собеседования на территории </w:t>
      </w:r>
      <w:r>
        <w:rPr>
          <w:color w:val="000000"/>
          <w:sz w:val="28"/>
        </w:rPr>
        <w:t>Адыге -</w:t>
      </w:r>
      <w:r>
        <w:rPr>
          <w:color w:val="000000"/>
          <w:sz w:val="28"/>
        </w:rPr>
        <w:t>Хабльского</w:t>
      </w:r>
      <w:r>
        <w:rPr>
          <w:color w:val="000000"/>
          <w:sz w:val="28"/>
        </w:rPr>
        <w:t xml:space="preserve"> муниципального района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в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2025</w:t>
      </w:r>
      <w:r>
        <w:rPr>
          <w:color w:val="000000"/>
          <w:sz w:val="28"/>
        </w:rPr>
        <w:t xml:space="preserve">- 2026 учебном году  </w:t>
      </w:r>
    </w:p>
    <w:p w14:paraId="12000000">
      <w:pPr>
        <w:spacing w:after="2" w:line="264" w:lineRule="auto"/>
        <w:ind w:firstLine="0" w:left="708"/>
        <w:jc w:val="both"/>
        <w:rPr>
          <w:color w:val="000000"/>
          <w:sz w:val="28"/>
        </w:rPr>
      </w:pPr>
    </w:p>
    <w:p w14:paraId="13000000">
      <w:pPr>
        <w:spacing w:after="2" w:line="264" w:lineRule="auto"/>
        <w:ind w:firstLine="0" w:left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ПРИКАЗЫВАЮ: </w:t>
      </w:r>
    </w:p>
    <w:p w14:paraId="14000000">
      <w:pPr>
        <w:rPr>
          <w:sz w:val="28"/>
        </w:rPr>
      </w:pPr>
      <w:r>
        <w:rPr>
          <w:sz w:val="28"/>
        </w:rPr>
        <w:t>1.</w:t>
      </w:r>
      <w:r>
        <w:rPr>
          <w:sz w:val="28"/>
        </w:rPr>
        <w:t>Руководителям образовательных организаций:</w:t>
      </w:r>
    </w:p>
    <w:p w14:paraId="15000000">
      <w:pPr>
        <w:spacing w:after="2" w:line="264" w:lineRule="auto"/>
        <w:ind w:firstLine="0" w:left="-15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color w:val="000000"/>
          <w:sz w:val="28"/>
        </w:rPr>
        <w:t>1.</w:t>
      </w:r>
      <w:r>
        <w:rPr>
          <w:color w:val="000000"/>
          <w:sz w:val="28"/>
        </w:rPr>
        <w:t>Издать</w:t>
      </w:r>
      <w:r>
        <w:rPr>
          <w:color w:val="000000"/>
          <w:sz w:val="28"/>
        </w:rPr>
        <w:t xml:space="preserve"> приказ об обеспечении информационной безопасности в местах проведения итогового собеседования по русскому языку (далее – итоговое собеседование).  </w:t>
      </w:r>
    </w:p>
    <w:p w14:paraId="16000000">
      <w:pPr>
        <w:spacing w:after="2" w:line="264" w:lineRule="auto"/>
        <w:ind w:firstLine="0" w:left="-15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1.2. Назначить ответственных лиц, привлекаемых к проведению и проверке итогового собеседования.  </w:t>
      </w:r>
    </w:p>
    <w:p w14:paraId="17000000">
      <w:pPr>
        <w:spacing w:after="2" w:line="264" w:lineRule="auto"/>
        <w:ind w:firstLine="0" w:left="-15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1.3. Организовать проведение инструктажей по соблюдению порядка проведения итогового собеседования, об основаниях для удаления с итогового собеседования среди обучающихся, их родителей (законных представителей) и лиц, привлекаемых к проведению итогового собеседования.  </w:t>
      </w:r>
    </w:p>
    <w:p w14:paraId="18000000">
      <w:pPr>
        <w:spacing w:after="2" w:line="264" w:lineRule="auto"/>
        <w:ind w:firstLine="0" w:left="-15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color w:val="000000"/>
          <w:sz w:val="28"/>
        </w:rPr>
        <w:t>4.Запретить</w:t>
      </w:r>
      <w:r>
        <w:rPr>
          <w:color w:val="000000"/>
          <w:sz w:val="28"/>
        </w:rPr>
        <w:t xml:space="preserve"> участникам итогового собеседования иметь при себе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 </w:t>
      </w:r>
    </w:p>
    <w:p w14:paraId="19000000">
      <w:pPr>
        <w:spacing w:after="2" w:line="264" w:lineRule="auto"/>
        <w:ind w:firstLine="0" w:left="-15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1.5. Запретить членам комиссии по проведению итогового собеседования во время проведения итогового собеседования иметь при себе средства связи, фото-, аудио- и видеоаппаратуру, справочные материалы, письменные заметки </w:t>
      </w:r>
      <w:r>
        <w:rPr>
          <w:color w:val="000000"/>
          <w:sz w:val="28"/>
        </w:rPr>
        <w:t xml:space="preserve">и иные средства хранения и передачи информации, оказывать содействие участникам итогового собеседования. </w:t>
      </w:r>
    </w:p>
    <w:p w14:paraId="1A000000">
      <w:pPr>
        <w:spacing w:after="2" w:line="264" w:lineRule="auto"/>
        <w:ind w:firstLine="0" w:left="-15"/>
        <w:jc w:val="both"/>
        <w:rPr>
          <w:color w:val="000000"/>
          <w:sz w:val="28"/>
        </w:rPr>
      </w:pPr>
      <w:r>
        <w:rPr>
          <w:color w:val="000000"/>
          <w:sz w:val="28"/>
        </w:rPr>
        <w:t>1.</w:t>
      </w:r>
      <w:r>
        <w:rPr>
          <w:color w:val="000000"/>
          <w:sz w:val="28"/>
        </w:rPr>
        <w:t>6.Обеспечить</w:t>
      </w:r>
      <w:r>
        <w:rPr>
          <w:color w:val="000000"/>
          <w:sz w:val="28"/>
        </w:rPr>
        <w:t xml:space="preserve"> контроль проведения итогового собеседования в </w:t>
      </w:r>
      <w:r>
        <w:rPr>
          <w:color w:val="000000"/>
          <w:sz w:val="28"/>
        </w:rPr>
        <w:t xml:space="preserve">подведомственной </w:t>
      </w:r>
      <w:r>
        <w:rPr>
          <w:color w:val="000000"/>
          <w:sz w:val="28"/>
        </w:rPr>
        <w:t xml:space="preserve"> образовательной организации.  </w:t>
      </w:r>
    </w:p>
    <w:p w14:paraId="1B000000">
      <w:pPr>
        <w:ind w:right="-365"/>
        <w:rPr>
          <w:sz w:val="28"/>
        </w:rPr>
      </w:pPr>
      <w:r>
        <w:rPr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>Главному специалисту управления</w:t>
      </w:r>
      <w:r>
        <w:rPr>
          <w:sz w:val="28"/>
        </w:rPr>
        <w:t xml:space="preserve"> </w:t>
      </w:r>
      <w:r>
        <w:rPr>
          <w:sz w:val="28"/>
        </w:rPr>
        <w:t>молодёжной политики, физической культуры и спорта   администрации Адыге-</w:t>
      </w:r>
      <w:r>
        <w:rPr>
          <w:sz w:val="28"/>
        </w:rPr>
        <w:t>Хабльского</w:t>
      </w:r>
      <w:r>
        <w:rPr>
          <w:sz w:val="28"/>
        </w:rPr>
        <w:t xml:space="preserve"> муниципального района</w:t>
      </w:r>
      <w:r>
        <w:rPr>
          <w:sz w:val="28"/>
        </w:rPr>
        <w:t xml:space="preserve"> </w:t>
      </w:r>
      <w:r>
        <w:rPr>
          <w:sz w:val="28"/>
        </w:rPr>
        <w:t>Китокову</w:t>
      </w:r>
      <w:r>
        <w:rPr>
          <w:sz w:val="28"/>
        </w:rPr>
        <w:t xml:space="preserve"> И.Е.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беспечить контроль проведения итогового собеседования в муниципальном образовании</w:t>
      </w:r>
      <w:r>
        <w:rPr>
          <w:color w:val="000000"/>
          <w:sz w:val="28"/>
        </w:rPr>
        <w:t xml:space="preserve"> </w:t>
      </w:r>
    </w:p>
    <w:p w14:paraId="1C000000">
      <w:pPr>
        <w:ind w:right="-365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.Контроль за выполнением данного приказа </w:t>
      </w:r>
      <w:r>
        <w:rPr>
          <w:sz w:val="28"/>
        </w:rPr>
        <w:t xml:space="preserve">оставляю за собой. </w:t>
      </w:r>
    </w:p>
    <w:p w14:paraId="1D000000">
      <w:pPr>
        <w:rPr>
          <w:sz w:val="28"/>
        </w:rPr>
      </w:pPr>
    </w:p>
    <w:p w14:paraId="1E000000">
      <w:pPr>
        <w:ind w:firstLine="0" w:left="360"/>
        <w:rPr>
          <w:sz w:val="28"/>
        </w:rPr>
      </w:pPr>
    </w:p>
    <w:p w14:paraId="1F000000"/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rPr>
          <w:sz w:val="28"/>
        </w:rPr>
      </w:pPr>
    </w:p>
    <w:p w14:paraId="23000000">
      <w:pPr>
        <w:rPr>
          <w:sz w:val="28"/>
        </w:rPr>
      </w:pPr>
      <w:r>
        <w:drawing>
          <wp:inline>
            <wp:extent cx="4220845" cy="157416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4220845" cy="1574165"/>
                    </a:xfrm>
                    <a:prstGeom prst="rect"/>
                  </pic:spPr>
                </pic:pic>
              </a:graphicData>
            </a:graphic>
          </wp:inline>
        </w:drawing>
      </w: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styleId="Style_22" w:type="paragraph">
    <w:name w:val="List Paragraph"/>
    <w:basedOn w:val="Style_1"/>
    <w:link w:val="Style_22_ch"/>
    <w:pPr>
      <w:ind w:firstLine="0" w:left="720"/>
      <w:contextualSpacing w:val="1"/>
    </w:pPr>
  </w:style>
  <w:style w:styleId="Style_22_ch" w:type="character">
    <w:name w:val="List Paragraph"/>
    <w:basedOn w:val="Style_1_ch"/>
    <w:link w:val="Style_22"/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2025-12-10T10:25:49Z</dcterms:modified>
</cp:coreProperties>
</file>